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0B" w:rsidRDefault="000A350B" w:rsidP="000A350B">
      <w:pPr>
        <w:shd w:val="clear" w:color="auto" w:fill="FFFFFF"/>
        <w:spacing w:after="450" w:line="525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0.95pt;margin-top:-50.3pt;width:819.75pt;height:610.7pt;z-index:251660288" wrapcoords="-33 0 -33 21555 21600 21555 21600 0 -33 0">
            <v:imagedata r:id="rId5" o:title=""/>
            <w10:wrap type="tight"/>
          </v:shape>
          <o:OLEObject Type="Embed" ProgID="FoxitReader.Document" ShapeID="_x0000_s1028" DrawAspect="Content" ObjectID="_1758447901" r:id="rId6"/>
        </w:pict>
      </w:r>
    </w:p>
    <w:p w:rsidR="005D17E1" w:rsidRPr="005D17E1" w:rsidRDefault="000A350B" w:rsidP="000A350B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5D17E1" w:rsidRPr="005D17E1">
        <w:rPr>
          <w:rFonts w:ascii="Times New Roman" w:hAnsi="Times New Roman" w:cs="Times New Roman"/>
          <w:b/>
          <w:sz w:val="28"/>
          <w:szCs w:val="28"/>
        </w:rPr>
        <w:t>Анализ работы школьной библиотеки  за  2022/2023 год.</w:t>
      </w:r>
    </w:p>
    <w:p w:rsidR="005D17E1" w:rsidRPr="005D17E1" w:rsidRDefault="005D17E1" w:rsidP="005D1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библиографическим и справочно-информационным аппаратом, используют ИНТЕРНЕТ – ресурсы (под руководством библиотекаря).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Главная цель работы библиотеки - научить детей рациональным приёмам работы с книгой, поиску и анализу материала, привить интерес к книге и чтению. Работа школьной библиотеки в 2022/2023 учебном году была направлена на реализацию следующих задач: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-обеспечение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-формирование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-обеспечение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-сбор, накопление и обработка информации и доведение её до читателя. Проведение внеклассной работы на базе источников информации, имеющихся в библиотеке;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-развитие содержательного общения между читателями, воспитание культуры общения;</w:t>
      </w:r>
    </w:p>
    <w:p w:rsidR="005D17E1" w:rsidRPr="005D17E1" w:rsidRDefault="005D17E1" w:rsidP="005D17E1">
      <w:pPr>
        <w:suppressAutoHyphens/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7E1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-воспитание у учащихся бережного отношения к книге;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-пропаганда литературы о родном крае;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-пропаганда литературы в помощь усвоения школьной программы;</w:t>
      </w:r>
    </w:p>
    <w:p w:rsidR="005D17E1" w:rsidRPr="005D17E1" w:rsidRDefault="005D17E1" w:rsidP="005D17E1">
      <w:pPr>
        <w:spacing w:line="240" w:lineRule="atLeast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 у детей интереса к учебе и книге;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bCs/>
          <w:sz w:val="28"/>
          <w:szCs w:val="28"/>
        </w:rPr>
        <w:tab/>
        <w:t>В течение года школьная библиотека работала по следующим направлениям: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1. Работа с учащимися.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2.  Работа с педагогическим коллективом.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3. Формирование фонда школьной библиотеки.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4. Массовая работа.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5. Справочно-библиографическая работа.</w:t>
      </w:r>
    </w:p>
    <w:p w:rsidR="005D17E1" w:rsidRPr="005D17E1" w:rsidRDefault="005D17E1" w:rsidP="005D17E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sz w:val="28"/>
          <w:szCs w:val="28"/>
        </w:rPr>
        <w:tab/>
        <w:t>Главная задача работы библиотеки состояла в следующем: оказать учащимся содействие в усвоении школьной программы, научить детей рациональным приемам работы с книгой, поиску информации, умению критически мыслить, искать и перерабатывать необходимую информацию. Школьная библиотека работала по привлечению учащихся к систематическому чтению, оказывая помощь в выполнении государственной программы обучения и воспитания школьников. В течение года проводилась работа по сохранности школьного библиотечного фонда.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Школьная библиотека прививала  учащимся потребность в постоянном самообразовании, воспитывала ответственность, уделяла внимание пропаганде литературы в  помощь школьным программам. А также развивала и поддерживала в детях привычку и радость чтения и учения,  потребность пользоваться библиотекой в течение всего учебного периода и в течение всей жизни.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sz w:val="28"/>
          <w:szCs w:val="28"/>
        </w:rPr>
        <w:tab/>
        <w:t>Вся работа библиотеки основывается на ее книжном фонде, успешное раскрытие которого поможет читателю приобщиться к знаниям.</w:t>
      </w:r>
    </w:p>
    <w:p w:rsidR="005D17E1" w:rsidRPr="005D17E1" w:rsidRDefault="005D17E1" w:rsidP="005D1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E1">
        <w:rPr>
          <w:rFonts w:ascii="Times New Roman" w:hAnsi="Times New Roman" w:cs="Times New Roman"/>
          <w:b/>
          <w:sz w:val="28"/>
          <w:szCs w:val="28"/>
        </w:rPr>
        <w:t>I. Работа с книжным  фондом.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Общий фонд библиотеки – 6275. Из них: основной фонд   –   2119 экз.;   учебная литература      -  4156 экз.   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Фонд литературы находится в открытом доступе для читателей.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Расстановка осуществлена по возрастным группам  (в соответствии с таблицами ББК для школьных библиотек). Справочная литература расставлена на отдельном стеллаже. Там же находится и памятка о правилах пользования словарями, энциклопедиями и справочниками.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К сожалению, в фонде нет некоторых программных произведений (или они находятся в недостаточном количестве). Мало также литературы для учащихся начальной школы. Существует также необходимость  пополнить фонд методической литературой для учителей. На протяжении всего учебного года осуществляется контроль над своевременным  возвратом в фонд выданных изданий  и ведется работа с должниками: проводятся беседы о необходимости своевременного возврата книг в библиотеку, поддерживается тесная связь с классным руководителем и родителями читателей.</w:t>
      </w:r>
    </w:p>
    <w:p w:rsidR="005D17E1" w:rsidRPr="005D17E1" w:rsidRDefault="005D17E1" w:rsidP="005D17E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Во время выдачи и приема книг в библиотеку с читателями (особенно младшего школьного возраста) проводятся рекомендательные беседы и беседы о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>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 В силу того, что читатели не всегда могут получить интересующую их книгу в библиотеке, особое значение приобретает работа с периодическими изданиями. В 2022/2023 учебном году пополнился фонд периодических изданий для младших школьников. Любимыми журналами читателей стали « </w:t>
      </w:r>
      <w:proofErr w:type="spellStart"/>
      <w:r w:rsidRPr="005D17E1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5D17E1">
        <w:rPr>
          <w:rFonts w:ascii="Times New Roman" w:hAnsi="Times New Roman" w:cs="Times New Roman"/>
          <w:sz w:val="28"/>
          <w:szCs w:val="28"/>
        </w:rPr>
        <w:t xml:space="preserve"> и компания», «Непоседа», «Детская энциклопедия», «Том и Джерри»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онд периодических изданий размещен на отдельном стеллаже в свободном доступе </w:t>
      </w:r>
      <w:r w:rsidRPr="005D17E1">
        <w:rPr>
          <w:rFonts w:ascii="Times New Roman" w:hAnsi="Times New Roman" w:cs="Times New Roman"/>
          <w:sz w:val="28"/>
          <w:szCs w:val="28"/>
        </w:rPr>
        <w:lastRenderedPageBreak/>
        <w:t>для читателей библиотеки. Учащиеся охотно посещают на перемене библиотеку, чтобы прочесть новинки периодики, решить кроссворды и ребусы, поиграть в интеллектуальные игры. Но хотелось бы расширить количество наименований подписываемых изданий для детей.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Постоянно проводится работа, направленная на своевременное выявление и изъятие литературы, согласно Федеральному перечню экстремистских материалов. Федеральный  перечень  экстремистских материалов размещен в библиотеке (в электронном варианте). В него ежемесячно вносятся изменения и дополнения с сайта министерства  юстиции РФ.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Фонд учебников расположен в закрытом доступе, отдельно от абонемента.  Расстановка произведена по классам.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На основании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разработан школьный перечень учебников,  используемых в учебном процессе, и издан приказ по школе «Об утверждении перечня учебной литературы на 2022/2023 учебный год», в котором перечислены все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учебники, которые используются в учебном процессе в 2022/20223 учебном году. Учителя ознакомлены с этим приказом и с «Федеральным перечнем учебников». 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По мере поступления новых учебников, продолжает пополняться и редактироваться регистрационная картотека учебников. Систематически в течение года проводится мониторинг обеспеченности учащихся школы учебной литературой. </w:t>
      </w:r>
    </w:p>
    <w:p w:rsidR="005D17E1" w:rsidRPr="005D17E1" w:rsidRDefault="005D17E1" w:rsidP="005D17E1">
      <w:pPr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Результаты мониторинга учитываются при оформлении заказа на учебники.</w:t>
      </w:r>
    </w:p>
    <w:p w:rsidR="005D17E1" w:rsidRPr="005D17E1" w:rsidRDefault="005D17E1" w:rsidP="005D17E1">
      <w:pPr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В 2022/2023 проведена большая работа по заказу учебников на новый учебный год согласно новому Федеральному перечню учебников. Была заполнена АИС «</w:t>
      </w:r>
      <w:proofErr w:type="spellStart"/>
      <w:r w:rsidRPr="005D17E1">
        <w:rPr>
          <w:rFonts w:ascii="Times New Roman" w:hAnsi="Times New Roman" w:cs="Times New Roman"/>
          <w:sz w:val="28"/>
          <w:szCs w:val="28"/>
        </w:rPr>
        <w:t>Книгозаказ</w:t>
      </w:r>
      <w:proofErr w:type="spellEnd"/>
      <w:r w:rsidRPr="005D17E1">
        <w:rPr>
          <w:rFonts w:ascii="Times New Roman" w:hAnsi="Times New Roman" w:cs="Times New Roman"/>
          <w:sz w:val="28"/>
          <w:szCs w:val="28"/>
        </w:rPr>
        <w:t xml:space="preserve">». Проведен мониторинг обеспеченности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школы учебной литературой согласно новому </w:t>
      </w:r>
      <w:proofErr w:type="spellStart"/>
      <w:r w:rsidRPr="005D17E1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D17E1">
        <w:rPr>
          <w:rFonts w:ascii="Times New Roman" w:hAnsi="Times New Roman" w:cs="Times New Roman"/>
          <w:sz w:val="28"/>
          <w:szCs w:val="28"/>
        </w:rPr>
        <w:t>.  Сделан заказ на новые учебники на 2023/2024 учебный год.</w:t>
      </w:r>
    </w:p>
    <w:p w:rsidR="005D17E1" w:rsidRPr="005D17E1" w:rsidRDefault="005D17E1" w:rsidP="005D17E1">
      <w:pPr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lastRenderedPageBreak/>
        <w:t xml:space="preserve">Все учебники входят в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ФП учебников и приобретаются за бюджетные средства. Прием, и техническая обработка поступивших изданий проводится согласно действующим документам, все издания заносятся в учетные документы библиотеки. В формировании заказа учебной литературы  принимают участие администрация школы, руководители ШМО, учителя. Благодаря закупке учебников планируется повышение  процента обеспеченности учащихся учебной литературой до </w:t>
      </w:r>
      <w:r w:rsidRPr="005D17E1">
        <w:rPr>
          <w:rFonts w:ascii="Times New Roman" w:hAnsi="Times New Roman" w:cs="Times New Roman"/>
          <w:color w:val="C00000"/>
          <w:sz w:val="28"/>
          <w:szCs w:val="28"/>
        </w:rPr>
        <w:t>91%</w:t>
      </w:r>
      <w:r w:rsidRPr="005D17E1">
        <w:rPr>
          <w:rFonts w:ascii="Times New Roman" w:hAnsi="Times New Roman" w:cs="Times New Roman"/>
          <w:sz w:val="28"/>
          <w:szCs w:val="28"/>
        </w:rPr>
        <w:t xml:space="preserve">  (недостающие учебники –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, музыка, физкультура, технология). Учебниками по основным предметам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обеспечены на 100%.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Налажена работа по обмену недостающими учебниками  между школами  района. В 2022/2023 учебном году из других школ получено 12 учебников, передано во временное пользование –  6 учебников.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 В конце учебного года  по графику учебники сдаются в школьную библиотеку. Однако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не все учащиеся своевременно сдали книги в библиотеку, не у всех учебники были подписаны и подклеены. Над этим необходимо работать в следующем учебном году. В конце августа по графику учащиеся получают комплекты учебников к новому учебному году.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E1" w:rsidRPr="005D17E1" w:rsidRDefault="005D17E1" w:rsidP="005D1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E1">
        <w:rPr>
          <w:rFonts w:ascii="Times New Roman" w:hAnsi="Times New Roman" w:cs="Times New Roman"/>
          <w:b/>
          <w:sz w:val="28"/>
          <w:szCs w:val="28"/>
        </w:rPr>
        <w:t>II. Содержание и организация работы с читателями.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В 2022/2023  учебном году средние показатели читательской активности несколько повысились, хотя могли бы быть еще выше. Активные читатели:  ученики  1-4  классов, в среднем звене это  ученики – 5 и 6 классов. Знакомство со школьной библиотекой у учащихся первого класса традиционно происходит  в сентябре. Для них проходит экскурсия: «Дом, в котором живут книги». Во время библиотечного урока учащиеся знакомятся с понятием “библиотека”, “библиотекарь”, “книжный фонд”. Следует отметить, что  уровень читающих ребят в начальной школе увеличился за последний  год. В основном, читательским спросом пользуются периодические издания, особенно в 1-4 классах.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 Выявлен основной фактор спроса литературы: учебный. Учителя </w:t>
      </w:r>
      <w:r w:rsidRPr="005D17E1">
        <w:rPr>
          <w:rFonts w:ascii="Times New Roman" w:hAnsi="Times New Roman" w:cs="Times New Roman"/>
          <w:sz w:val="28"/>
          <w:szCs w:val="28"/>
        </w:rPr>
        <w:lastRenderedPageBreak/>
        <w:t>– предметники систематически информируются о новинках учебной и методической литературы, поступающей в библиотеку. Проводится  работа среди учащихся по пропаганде библиотечно-библиографических знаний.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Компьютерные технологии  достаточно широко используются в работе библиотеки: для составления отчетов; для формирования  заказов учебников в издательствах, для  анализа деятельности библиотеки; для составления плана работы библиотеки;  для создания презентаций к мероприятиям.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Кроме этого, многие  мероприятия, проводимые библиотекой, сопровождаются  показом презентаций, видеороликов, в работе используется компьютер.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ab/>
        <w:t>Возможности сети Интернет используются и при выполнении справок для читателей. Наличие в библиотеке принтера помогает при необходимости осуществить распечатку материалов по запросам читателей.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E1" w:rsidRPr="005D17E1" w:rsidRDefault="005D17E1" w:rsidP="005D1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17E1">
        <w:rPr>
          <w:rFonts w:ascii="Times New Roman" w:hAnsi="Times New Roman" w:cs="Times New Roman"/>
          <w:b/>
          <w:sz w:val="28"/>
          <w:szCs w:val="28"/>
        </w:rPr>
        <w:t>. Массовая работа.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 действующие книжные выставки, которые регулярно обновляются.  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 году читатели познакомились с творчеством К. Д. Ушинского.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ab/>
        <w:t xml:space="preserve">Все мероприятия, проводимые библиотекой, способствовали развитию интереса к чтению.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5D17E1">
        <w:rPr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5D1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7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D17E1">
        <w:rPr>
          <w:rFonts w:ascii="Times New Roman" w:hAnsi="Times New Roman" w:cs="Times New Roman"/>
          <w:bCs/>
          <w:sz w:val="28"/>
          <w:szCs w:val="28"/>
        </w:rPr>
        <w:t>библиографическая</w:t>
      </w:r>
      <w:proofErr w:type="gramEnd"/>
      <w:r w:rsidRPr="005D17E1">
        <w:rPr>
          <w:rFonts w:ascii="Times New Roman" w:hAnsi="Times New Roman" w:cs="Times New Roman"/>
          <w:bCs/>
          <w:sz w:val="28"/>
          <w:szCs w:val="28"/>
        </w:rPr>
        <w:t xml:space="preserve"> работа в библиотеке</w:t>
      </w:r>
      <w:r w:rsidRPr="005D17E1">
        <w:rPr>
          <w:rFonts w:ascii="Times New Roman" w:hAnsi="Times New Roman" w:cs="Times New Roman"/>
          <w:sz w:val="28"/>
          <w:szCs w:val="28"/>
        </w:rPr>
        <w:t xml:space="preserve"> была выражена в выполнении тематических и информационных справок.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ab/>
        <w:t xml:space="preserve"> Анализируя работу школьной библиотеки за 2022/2023 год, можно сделать следующий вывод: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     Библиотека пропагандировала чтение, прививала интерес к периодической печати. Работа библиотеки проводилась в соответствии с годовым планом библиотеки и планом работы школы.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годом, больше выдано детской литературы, литературы по общественным и гуманитарным дисциплинам. В этом году увеличилось обращение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- ресурсам. Увеличение читательской активности произошло за счёт слаженной работы учительского коллектива и за счёт поступления в фонд детских журналов.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7E1">
        <w:rPr>
          <w:rFonts w:ascii="Times New Roman" w:hAnsi="Times New Roman" w:cs="Times New Roman"/>
          <w:sz w:val="28"/>
          <w:szCs w:val="28"/>
        </w:rPr>
        <w:tab/>
        <w:t xml:space="preserve"> Выявлены основные проблемы, над которыми необходимо работать в 2023/2024 году: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1. Снизилась читательская активность у обучающихся 7-11 классов, книгу заменил Интернет.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2. В фонде содержится много устаревшей литературы и литературы, пришедшей в негодность.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3. Реклама деятельности библиотеки </w:t>
      </w:r>
      <w:proofErr w:type="gramStart"/>
      <w:r w:rsidRPr="005D17E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5D17E1">
        <w:rPr>
          <w:rFonts w:ascii="Times New Roman" w:hAnsi="Times New Roman" w:cs="Times New Roman"/>
          <w:sz w:val="28"/>
          <w:szCs w:val="28"/>
        </w:rPr>
        <w:t xml:space="preserve"> не на должном  уровне.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4. Библиотека не пополняется новой детской и юношеской литературой в виду отсутствия финансирования.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5D17E1">
        <w:rPr>
          <w:rFonts w:ascii="Times New Roman" w:hAnsi="Times New Roman" w:cs="Times New Roman"/>
          <w:b/>
          <w:sz w:val="28"/>
          <w:szCs w:val="28"/>
        </w:rPr>
        <w:t>Задачи, над которыми стоит работать в 2023/2024 году: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1. Активизировать читательскую активность у школьников, находить новые формы приобщения детей к чтению.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2. Пополнять фонд новой художественной и детской литературой, раз в год проводить акцию «Подари книгу библиотеке».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3. Продолжать работу над повышением качества и доступности информации, качеством обслуживания пользователей.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4. Обучать читателей пользоваться книгой и другими носителями информации, поиску, отбору и умению оценивать информацию.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5. Формировать эстетическую и экологическую культуру и интерес к здоровому образу жизни.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 6. Обновлять стенды и вывески, активнее проводить рекламу деятельности библиотеки, используя при этом школьный сайт.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7. Проводить чистку библиотечного фонда от устаревшей и ветхой литературы.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8. Работать с «Федеральным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21.09.22).Формировать фонд учебной литературы в соответствии с новым </w:t>
      </w:r>
      <w:proofErr w:type="spellStart"/>
      <w:r w:rsidRPr="005D17E1">
        <w:rPr>
          <w:rFonts w:ascii="Times New Roman" w:hAnsi="Times New Roman" w:cs="Times New Roman"/>
          <w:sz w:val="28"/>
          <w:szCs w:val="28"/>
        </w:rPr>
        <w:t>ФГОСом</w:t>
      </w:r>
      <w:proofErr w:type="spellEnd"/>
      <w:r w:rsidRPr="005D17E1">
        <w:rPr>
          <w:rFonts w:ascii="Times New Roman" w:hAnsi="Times New Roman" w:cs="Times New Roman"/>
          <w:sz w:val="28"/>
          <w:szCs w:val="28"/>
        </w:rPr>
        <w:t>.</w:t>
      </w:r>
    </w:p>
    <w:p w:rsidR="005D17E1" w:rsidRPr="005D17E1" w:rsidRDefault="005D17E1" w:rsidP="005D1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В дальнейшем нужно продолжить работу над повышением качества и доступности информации с использованием электронных носителей, провести чистку художественного фонда, вести работу по сохранности учебной литературы.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E1" w:rsidRPr="005D17E1" w:rsidRDefault="005D17E1" w:rsidP="005D17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17E1"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 и предложения: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 2.Возросла взаимосвязь библиотеки с педагогическим коллективом и учащимися.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sz w:val="28"/>
          <w:szCs w:val="28"/>
        </w:rPr>
      </w:pPr>
      <w:r w:rsidRPr="005D17E1">
        <w:rPr>
          <w:rFonts w:ascii="Times New Roman" w:hAnsi="Times New Roman" w:cs="Times New Roman"/>
          <w:sz w:val="28"/>
          <w:szCs w:val="28"/>
        </w:rPr>
        <w:t xml:space="preserve">3.Библиотека нуждается в пополнении фонда художественной и детской литературой, т.к. много устаревшей литературы, поэтому необходимо совместно с администрацией школы и родительским активом изыскивать средства для этого. </w:t>
      </w:r>
    </w:p>
    <w:p w:rsidR="005D17E1" w:rsidRPr="005D17E1" w:rsidRDefault="005D17E1" w:rsidP="005D1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7E1">
        <w:rPr>
          <w:rFonts w:ascii="Times New Roman" w:hAnsi="Times New Roman" w:cs="Times New Roman"/>
          <w:sz w:val="28"/>
          <w:szCs w:val="28"/>
        </w:rPr>
        <w:t>4.Библиотека нуждается в полном обновлении  фонда учебной литературы (в связи с принятием нового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» (Приказ Министерства просвещения № 858 от 21.09.23).</w:t>
      </w:r>
      <w:proofErr w:type="gramEnd"/>
    </w:p>
    <w:p w:rsidR="005D17E1" w:rsidRPr="005D17E1" w:rsidRDefault="005D17E1" w:rsidP="007D1EA5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5D17E1" w:rsidRPr="005D17E1" w:rsidRDefault="005D17E1" w:rsidP="007D1EA5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5D17E1" w:rsidRDefault="005D17E1" w:rsidP="007D1EA5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</w:p>
    <w:p w:rsidR="005D17E1" w:rsidRDefault="005D17E1" w:rsidP="007D1EA5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</w:p>
    <w:p w:rsidR="007D1EA5" w:rsidRPr="005D17E1" w:rsidRDefault="005D17E1" w:rsidP="007D1EA5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lastRenderedPageBreak/>
        <w:t xml:space="preserve">                 </w:t>
      </w:r>
      <w:r w:rsidR="007D1EA5" w:rsidRPr="005D17E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</w:rPr>
        <w:t>План работы школьной библиотеки на 2023-2024 учебный год</w:t>
      </w:r>
    </w:p>
    <w:p w:rsidR="007D1EA5" w:rsidRPr="007D1EA5" w:rsidRDefault="007D1EA5" w:rsidP="007D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Цели работы школьной библиотеки: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1.       обеспечение учебно-воспитательного процесса всеми формами и методами библиотечного обслуживания;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2.       содействие педагогическому коллективу в развитии и воспитании учащихся;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3.       привитие учащимся любви к чтению, воспитание культуры чтения, бережного отношения к печатным изданиям;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4.       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5.       приобщение читателей к художественным традициям и внедрение новых форм культурно – </w:t>
      </w:r>
      <w:proofErr w:type="spellStart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досуговой</w:t>
      </w:r>
      <w:proofErr w:type="spellEnd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деятельности;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6.       оказание помощи в деятельности учащихся и учителей при реализации образовательных проектов.</w:t>
      </w:r>
    </w:p>
    <w:p w:rsidR="007D1EA5" w:rsidRPr="007D1EA5" w:rsidRDefault="007D1EA5" w:rsidP="007D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 школьной библиотеки: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1.       Формирование библиотечного фонда в соответствии с образовательной программой.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       Осуществление каталогизации и обработки— </w:t>
      </w:r>
      <w:proofErr w:type="gramStart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кн</w:t>
      </w:r>
      <w:proofErr w:type="gramEnd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3.       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4.       Осуществление своевременного возврата выданных изданий в библиотеку.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5.       Осуществление образовательной, информационной и воспитательной работы среди учащихся школы.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6.       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7.       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8.       Повышение использования работы Интернета педагогами.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9.       Формирование у детей информационной культуры и культуры чтения.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10.    Воспитание патриотизма и любви к родному краю, его истории, к малой родине.</w:t>
      </w:r>
    </w:p>
    <w:p w:rsidR="007D1EA5" w:rsidRPr="007D1EA5" w:rsidRDefault="007D1EA5" w:rsidP="007D1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7D1EA5" w:rsidRPr="007D1EA5" w:rsidRDefault="007D1EA5" w:rsidP="007D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Основные функции школьной библиотеки: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       Информационная— </w:t>
      </w:r>
      <w:proofErr w:type="gramStart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пр</w:t>
      </w:r>
      <w:proofErr w:type="gramEnd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едоставление возможности использования информации вне зависимости от ее вида, формата и носителя.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2.       </w:t>
      </w:r>
      <w:proofErr w:type="gramStart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Воспитательная</w:t>
      </w:r>
      <w:proofErr w:type="gramEnd"/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3.      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4.       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7D1EA5" w:rsidRPr="007D1EA5" w:rsidRDefault="007D1EA5" w:rsidP="007D1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7D1EA5" w:rsidRPr="007D1EA5" w:rsidRDefault="007D1EA5" w:rsidP="007D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Направления деятельности библиотеки:</w:t>
      </w:r>
    </w:p>
    <w:p w:rsidR="007D1EA5" w:rsidRPr="007D1EA5" w:rsidRDefault="007D1EA5" w:rsidP="007D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1.       библиотечные уроки;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2.       информационные и прочие обзоры литературы;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3.       беседы о навыках работы с книгой;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4.       подбор литературы для внеклассного чтения;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5.        участие в муниципальных конкурсах;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6.       выполнение библиографических запросов;</w:t>
      </w:r>
    </w:p>
    <w:p w:rsidR="007D1EA5" w:rsidRPr="007D1EA5" w:rsidRDefault="007D1EA5" w:rsidP="007D1E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color w:val="212529"/>
          <w:sz w:val="28"/>
          <w:szCs w:val="28"/>
        </w:rPr>
        <w:t>7.       поддержка общешкольных мероприятий.</w:t>
      </w:r>
    </w:p>
    <w:p w:rsidR="002973BB" w:rsidRPr="007D1EA5" w:rsidRDefault="002973BB" w:rsidP="007D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73BB" w:rsidRPr="007D1EA5" w:rsidRDefault="002973BB" w:rsidP="007D1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Формирование фонда библиотеки.</w:t>
      </w:r>
    </w:p>
    <w:tbl>
      <w:tblPr>
        <w:tblW w:w="141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8"/>
        <w:gridCol w:w="1098"/>
        <w:gridCol w:w="7163"/>
        <w:gridCol w:w="7"/>
        <w:gridCol w:w="1439"/>
        <w:gridCol w:w="3260"/>
        <w:gridCol w:w="308"/>
      </w:tblGrid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I.Работа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фондом учебной литературы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движения фонда.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обеспеченности учащихся школы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 и учебными пособиями на 2023-2024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учебный год.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формирование общешкол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 заказа на учебники на 2023-2024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год;</w:t>
            </w:r>
          </w:p>
          <w:p w:rsidR="00F455F1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осуществление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сделанного заказа;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приём и обработка поступивших учебников: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накладных;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запись в книгу суммарного учёта;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штемпелевание;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составление списков класса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и выдача учебников (по графику)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август-сентябрь</w:t>
            </w: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осуществлением исполнения заказа.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Списание с учётом ветхости и смены программ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F455F1" w:rsidRPr="007D1EA5" w:rsidTr="00F455F1">
        <w:trPr>
          <w:gridAfter w:val="1"/>
          <w:wAfter w:w="308" w:type="dxa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II.Работа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фондом художественной литературы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свободного доступа в библиотеке: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 художественной литературе;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 фонду учебников (по требованию)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поддержка комфортных условий для читателей.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подписки на 1 полугодие 2024 г.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Работа с читателями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беседы при сдаче книг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rPr>
          <w:trHeight w:val="303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Работа с педагогическим коллективом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беседы о новых изданиях, поступивших в библиотеку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педсоветах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rPr>
          <w:trHeight w:val="207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беседы о новых изданиях, поступивших в библиотеку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педсоветах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педсоветах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rPr>
          <w:trHeight w:val="688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VI. Работа с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школы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пользователей согласно расписанию работы библиотеки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Рекомендовать художественную литературу и периодические издания согласно возрастным категориям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каждого пользователя библиотеки</w:t>
            </w: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VII. Массовая работа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Ежемесячные выставки к юбилейным датам писателей и знаменательным датам: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EA5">
              <w:rPr>
                <w:rFonts w:ascii="Times New Roman" w:hAnsi="Times New Roman" w:cs="Times New Roman"/>
                <w:sz w:val="28"/>
                <w:szCs w:val="28"/>
              </w:rPr>
              <w:t xml:space="preserve"> «1 сентября - День знаний»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  <w:proofErr w:type="gramStart"/>
            <w:r w:rsidRPr="007D1E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книжная выставка «Моя Россия – без терроризма»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  <w:p w:rsidR="002244CA" w:rsidRDefault="002244CA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Расула Гамзатова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(1923-2003), дагестанского народного поэта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Николаевича Толстого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(1828-1910), выдающегося русского писателя и мыслителя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Бориса Владимировича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Заходера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(1918-2000), русского поэта, писателя и переводчика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 Сергеевича Шмелева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(1873-1950), писателя русского зарубежья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лет со дня рождения  Ивана Сергеевича  Аксакова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(1823-1886), русского писателя и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публициста, поэта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Владимира Афанасьевича Обручева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(1863-1956), русского ученого, географа и путешественника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 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Владислава Петровича Крапивина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(1938-2020), русского писателя, педагога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 Сергеевича Тургенева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(1818-1883), русского писателя, поэта, публициста и драматурга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Сельмы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Лагерлёф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(1858-1940), шведской писательницы, лауреата Нобелевской премии (1909)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Николая Николаевича  Носова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(1908-1976), русского писателя, киносценариста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(01.12)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Виктора Юзефовича Драгунского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(1913-1972), русского детского писателя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Лазаря Иосифовича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Лагина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(1903-1979), русского писателя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351DB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Фёдора Ивановича Тютчева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(1803-1873), русского поэта, дипломата, публициста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DB6" w:rsidRPr="007D1EA5" w:rsidTr="00351DB6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71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Владимира 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Фёдоровича Тендрякова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(1923-1984), русского писателя</w:t>
            </w:r>
          </w:p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DB6" w:rsidRDefault="00351D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DB6" w:rsidRPr="007D1EA5" w:rsidTr="00351DB6">
        <w:trPr>
          <w:trHeight w:val="1873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Александра Исаевича Солженицына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(1918-2008), русского писателя, лауреата Нобелевской премии (1970)</w:t>
            </w:r>
          </w:p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DB6" w:rsidRDefault="00351D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DB6" w:rsidRDefault="00351D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  <w:p w:rsidR="00351DB6" w:rsidRDefault="00351D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1DB6" w:rsidRPr="007D1EA5" w:rsidRDefault="00351DB6" w:rsidP="00351D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B6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351DB6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Чингиза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Айтматова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(1928-2008), киргизского писателя, дипломата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Даниила Александровича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Гранина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(Германа)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(1919-2017)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Аркадия Петровича Гайдара (Голикова)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(1904-1941)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Павла Петровича Бажова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(1879-1950)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Евгения Ивановича Замятина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(1884-1937)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Виталия Валентиновича Бианки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(1894-1959)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 Андреевича Крылова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(1769-1844)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Константина Дмитриевича 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Ушинского (1824-1970)</w:t>
            </w: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Юрия Карловича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Олеши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(1899-1960)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Ирине Петровне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Токмаковой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(1929-2018)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Николая Васильевича Гоголя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(1809-1852)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Дениса Ивановича Фонвизина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(1744/1745-1792)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Владимира Владимировича Набокова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(1899-1977)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Виктора Петровича Астафьева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(1924-2001)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Булата Шалвовича Окуджавы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(1924-1997)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Бориса Львовича Васильева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(1924-2013)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Подписка на газеты и журналы на I полугодие 2024 г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351DB6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Царскосельского лицея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(в этот день в 1811 году открылся Императорский Царскосельский лицей)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игра-беседа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белых журавлей. День поэзии и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павших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полях сражений во всех войнах.</w:t>
            </w: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Читайка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мероприятие, посвященное Дню школьного библиотекаря.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«Читаем Тургенева вместе». Мероприятие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Литературная игра, посвященная 165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дня рождения 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Сельмы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Лагерлёф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(1858-1940),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Литературная викторина по книгам писателя к 115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дня рождения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Николая Николаевича  Носова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 – музыкальная композиция, посвящённая Дню матери.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Наума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Грамотника</w:t>
            </w:r>
            <w:proofErr w:type="spell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Беседа-игра.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Аркадия Петровича Гайдара (Голикова)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(1904-1941)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-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викторина по книгам писателя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Павла Петровича Бажова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(1879-1950) – литературная игра по сказам П.Бажова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«Бло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кадный Ленинград»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Виталия Валентиновича Бианки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(1894-1959) – игра-викторина, посвященная творчеству писателя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7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255 лет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 Андреевича Крылова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(1769-1844) – театрализованное прочтение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басен к юбилею писателя</w:t>
            </w:r>
          </w:p>
        </w:tc>
        <w:tc>
          <w:tcPr>
            <w:tcW w:w="14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11.03-17.03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351D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Масленица.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Мероприятие 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="003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играми и </w:t>
            </w:r>
            <w:proofErr w:type="spellStart"/>
            <w:r w:rsidR="003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закличками</w:t>
            </w:r>
            <w:proofErr w:type="spellEnd"/>
            <w:r w:rsidR="00351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Через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тернии к звездам». 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Викторина, посвященная международному дню космонавтики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Мероприятие, посвящённое 79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годовщине Дня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Победы в Великой Отечественной войне «Помним. Гордимся. Живём»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VIII. Реклама библиотеки.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Рекламная деятельность библиотеки: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устная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во время перемен, на классных часах, классных собраниях;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выставки одного автора: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«Календарь знаменательных и памятных дат».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требования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IX. Профессиональное развитие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семинарах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методического объединения.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чтение журналов «Школьная библиотека», «Библиотека в школе»;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приказов, писем, инструкций о библиотечном деле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обучение на </w:t>
            </w:r>
            <w:proofErr w:type="gram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gramEnd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X. Взаимодействие с другими библиотеками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5F1" w:rsidRPr="007D1EA5" w:rsidTr="00F455F1">
        <w:trPr>
          <w:trHeight w:val="222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по обслуживанию школьников с библиотеками: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библиотека школы №2;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-библиотека школы №1</w:t>
            </w: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ЦДБ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1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по мере требования</w:t>
            </w:r>
          </w:p>
        </w:tc>
        <w:tc>
          <w:tcPr>
            <w:tcW w:w="3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5F1" w:rsidRPr="007D1EA5" w:rsidRDefault="00F455F1" w:rsidP="002973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7D1EA5" w:rsidRDefault="002973BB" w:rsidP="002973BB">
      <w:pPr>
        <w:rPr>
          <w:rFonts w:ascii="Times New Roman" w:hAnsi="Times New Roman" w:cs="Times New Roman"/>
          <w:sz w:val="28"/>
          <w:szCs w:val="28"/>
        </w:rPr>
      </w:pPr>
    </w:p>
    <w:p w:rsidR="002973BB" w:rsidRPr="002973BB" w:rsidRDefault="002973BB" w:rsidP="002973BB"/>
    <w:p w:rsidR="002973BB" w:rsidRPr="002973BB" w:rsidRDefault="002973BB" w:rsidP="002973BB"/>
    <w:p w:rsidR="002973BB" w:rsidRDefault="002973BB" w:rsidP="002973BB"/>
    <w:p w:rsidR="002973BB" w:rsidRPr="002973BB" w:rsidRDefault="002973BB" w:rsidP="002973BB"/>
    <w:sectPr w:rsidR="002973BB" w:rsidRPr="002973BB" w:rsidSect="002973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6E2"/>
    <w:multiLevelType w:val="multilevel"/>
    <w:tmpl w:val="A960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3BB"/>
    <w:rsid w:val="0002225B"/>
    <w:rsid w:val="000A350B"/>
    <w:rsid w:val="001E04B3"/>
    <w:rsid w:val="002244CA"/>
    <w:rsid w:val="00295E43"/>
    <w:rsid w:val="002973BB"/>
    <w:rsid w:val="002D1A30"/>
    <w:rsid w:val="00322CB3"/>
    <w:rsid w:val="00351DB6"/>
    <w:rsid w:val="00406B0E"/>
    <w:rsid w:val="004C3830"/>
    <w:rsid w:val="005D17E1"/>
    <w:rsid w:val="0069195C"/>
    <w:rsid w:val="007C57A8"/>
    <w:rsid w:val="007D1EA5"/>
    <w:rsid w:val="008712CE"/>
    <w:rsid w:val="008D41B7"/>
    <w:rsid w:val="008F12E5"/>
    <w:rsid w:val="00A17A3F"/>
    <w:rsid w:val="00BB3BB4"/>
    <w:rsid w:val="00BD6A64"/>
    <w:rsid w:val="00DA1195"/>
    <w:rsid w:val="00DC71D7"/>
    <w:rsid w:val="00E21358"/>
    <w:rsid w:val="00F4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24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2023-10-09T10:15:00Z</cp:lastPrinted>
  <dcterms:created xsi:type="dcterms:W3CDTF">2023-08-23T06:08:00Z</dcterms:created>
  <dcterms:modified xsi:type="dcterms:W3CDTF">2023-10-10T08:58:00Z</dcterms:modified>
</cp:coreProperties>
</file>